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B99C0" w14:textId="70646431" w:rsidR="00DE0D51" w:rsidRPr="00B8229F" w:rsidRDefault="008E7B8D" w:rsidP="00FB2E33">
      <w:pPr>
        <w:pStyle w:val="ONCHeading1"/>
        <w:spacing w:before="240" w:after="240"/>
        <w:jc w:val="left"/>
        <w:rPr>
          <w:rFonts w:ascii="Century Gothic" w:hAnsi="Century Gothic"/>
          <w:sz w:val="24"/>
        </w:rPr>
      </w:pPr>
      <w:bookmarkStart w:id="0" w:name="OLE_LINK1"/>
      <w:bookmarkStart w:id="1" w:name="OLE_LINK2"/>
      <w:bookmarkStart w:id="2" w:name="OLE_LINK9"/>
      <w:bookmarkStart w:id="3" w:name="OLE_LINK10"/>
      <w:bookmarkStart w:id="4" w:name="_GoBack"/>
      <w:bookmarkEnd w:id="4"/>
      <w:r w:rsidRPr="00B8229F">
        <w:rPr>
          <w:rFonts w:ascii="Century Gothic" w:hAnsi="Century Gothic"/>
          <w:sz w:val="24"/>
        </w:rPr>
        <w:t>Activity 2</w:t>
      </w:r>
      <w:r w:rsidR="0045729D" w:rsidRPr="00B8229F">
        <w:rPr>
          <w:rFonts w:ascii="Century Gothic" w:hAnsi="Century Gothic"/>
          <w:sz w:val="24"/>
        </w:rPr>
        <w:t xml:space="preserve">: </w:t>
      </w:r>
      <w:r w:rsidR="00B8229F" w:rsidRPr="00B8229F">
        <w:rPr>
          <w:rFonts w:ascii="Century Gothic" w:hAnsi="Century Gothic"/>
          <w:sz w:val="24"/>
        </w:rPr>
        <w:t xml:space="preserve">Understanding </w:t>
      </w:r>
      <w:r w:rsidR="00DE0D51" w:rsidRPr="00B8229F">
        <w:rPr>
          <w:rFonts w:ascii="Century Gothic" w:hAnsi="Century Gothic"/>
          <w:sz w:val="24"/>
        </w:rPr>
        <w:t>Clinical Decision Support Systems</w:t>
      </w:r>
    </w:p>
    <w:p w14:paraId="23FED3E2" w14:textId="5EB664C8" w:rsidR="00FB2E33" w:rsidRPr="00AC2FB6" w:rsidRDefault="00603C08" w:rsidP="00FB2E33">
      <w:pPr>
        <w:pStyle w:val="ONCHeading1"/>
        <w:spacing w:before="240" w:after="240"/>
        <w:jc w:val="left"/>
        <w:rPr>
          <w:rFonts w:ascii="Century Gothic" w:hAnsi="Century Gothic"/>
          <w:b w:val="0"/>
          <w:bCs w:val="0"/>
          <w:sz w:val="24"/>
        </w:rPr>
      </w:pPr>
      <w:r w:rsidRPr="00AC2FB6">
        <w:rPr>
          <w:rFonts w:ascii="Century Gothic" w:hAnsi="Century Gothic"/>
          <w:b w:val="0"/>
          <w:bCs w:val="0"/>
          <w:sz w:val="24"/>
        </w:rPr>
        <w:t>Answer Key</w:t>
      </w:r>
    </w:p>
    <w:p w14:paraId="19327465" w14:textId="77777777" w:rsidR="00B8229F" w:rsidRDefault="005A4141" w:rsidP="003D3818">
      <w:pPr>
        <w:pStyle w:val="NormalWeb"/>
        <w:shd w:val="clear" w:color="auto" w:fill="FFFFFF"/>
        <w:spacing w:before="0" w:beforeAutospacing="0" w:after="120" w:afterAutospacing="0"/>
        <w:rPr>
          <w:rFonts w:ascii="Century Gothic" w:hAnsi="Century Gothic" w:cs="Segoe UI"/>
          <w:i/>
          <w:iCs/>
          <w:color w:val="3A3A3A"/>
          <w:sz w:val="22"/>
          <w:szCs w:val="22"/>
        </w:rPr>
      </w:pPr>
      <w:r w:rsidRPr="00B8229F">
        <w:rPr>
          <w:rFonts w:ascii="Century Gothic" w:hAnsi="Century Gothic" w:cs="Segoe UI"/>
          <w:i/>
          <w:iCs/>
          <w:color w:val="3A3A3A"/>
          <w:sz w:val="22"/>
          <w:szCs w:val="22"/>
        </w:rPr>
        <w:t>Scenari</w:t>
      </w:r>
      <w:r w:rsidR="00B8229F">
        <w:rPr>
          <w:rFonts w:ascii="Century Gothic" w:hAnsi="Century Gothic" w:cs="Segoe UI"/>
          <w:i/>
          <w:iCs/>
          <w:color w:val="3A3A3A"/>
          <w:sz w:val="22"/>
          <w:szCs w:val="22"/>
        </w:rPr>
        <w:t>o</w:t>
      </w:r>
    </w:p>
    <w:p w14:paraId="27DDC0D8" w14:textId="3BFE702C" w:rsidR="005A4141" w:rsidRPr="005E2381" w:rsidRDefault="005A4141" w:rsidP="005E2381">
      <w:pPr>
        <w:pStyle w:val="Bodytext"/>
      </w:pPr>
      <w:r w:rsidRPr="005E2381">
        <w:t>A nurse in a clinic tracks pregnant women using a mobile</w:t>
      </w:r>
      <w:r w:rsidR="005E2381">
        <w:t xml:space="preserve"> </w:t>
      </w:r>
      <w:r w:rsidRPr="005E2381">
        <w:t>device that includes information about medications. On</w:t>
      </w:r>
      <w:r w:rsidR="005E2381">
        <w:t xml:space="preserve"> </w:t>
      </w:r>
      <w:r w:rsidRPr="005E2381">
        <w:t>occasion, an alert displays that the medication about to be</w:t>
      </w:r>
      <w:r w:rsidR="005E2381">
        <w:t xml:space="preserve"> </w:t>
      </w:r>
      <w:r w:rsidRPr="005E2381">
        <w:t>administered is contraindicated for the patient. </w:t>
      </w:r>
    </w:p>
    <w:p w14:paraId="77A9AD82" w14:textId="61C0DA67" w:rsidR="00B8229F" w:rsidRPr="00B8229F" w:rsidRDefault="00B8229F" w:rsidP="003D3818">
      <w:pPr>
        <w:pStyle w:val="NormalWeb"/>
        <w:shd w:val="clear" w:color="auto" w:fill="FFFFFF"/>
        <w:spacing w:before="0" w:beforeAutospacing="0" w:after="120" w:afterAutospacing="0"/>
        <w:rPr>
          <w:rFonts w:ascii="Century Gothic" w:hAnsi="Century Gothic" w:cs="Segoe UI"/>
          <w:i/>
          <w:iCs/>
          <w:color w:val="3A3A3A"/>
          <w:sz w:val="22"/>
          <w:szCs w:val="22"/>
        </w:rPr>
      </w:pPr>
      <w:r>
        <w:rPr>
          <w:rFonts w:ascii="Century Gothic" w:hAnsi="Century Gothic" w:cs="Segoe UI"/>
          <w:i/>
          <w:iCs/>
          <w:color w:val="3A3A3A"/>
          <w:sz w:val="22"/>
          <w:szCs w:val="22"/>
        </w:rPr>
        <w:t>Answers</w:t>
      </w:r>
    </w:p>
    <w:p w14:paraId="70848E25" w14:textId="6CD56F63" w:rsidR="00B8229F" w:rsidRPr="00331AA9" w:rsidRDefault="005A4141" w:rsidP="00452B06">
      <w:pPr>
        <w:pStyle w:val="ONCList-beginning"/>
        <w:numPr>
          <w:ilvl w:val="0"/>
          <w:numId w:val="18"/>
        </w:numPr>
        <w:spacing w:line="300" w:lineRule="exact"/>
        <w:ind w:left="360"/>
        <w:rPr>
          <w:rFonts w:ascii="Garamond" w:hAnsi="Garamond"/>
          <w:b/>
          <w:bCs/>
          <w:sz w:val="22"/>
          <w:szCs w:val="22"/>
        </w:rPr>
      </w:pPr>
      <w:r w:rsidRPr="00331AA9">
        <w:rPr>
          <w:rFonts w:ascii="Garamond" w:hAnsi="Garamond"/>
          <w:b/>
          <w:bCs/>
          <w:sz w:val="22"/>
          <w:szCs w:val="22"/>
        </w:rPr>
        <w:t>Why is this scenario an example of clinical decision support?</w:t>
      </w:r>
    </w:p>
    <w:p w14:paraId="5462B73F" w14:textId="52C33453" w:rsidR="00B8229F" w:rsidRPr="00331AA9" w:rsidRDefault="002F7EF1" w:rsidP="00452B06">
      <w:pPr>
        <w:pStyle w:val="ONCNormal"/>
        <w:spacing w:after="120" w:line="300" w:lineRule="exact"/>
        <w:ind w:left="360"/>
        <w:rPr>
          <w:rFonts w:ascii="Garamond" w:hAnsi="Garamond"/>
          <w:sz w:val="22"/>
          <w:szCs w:val="22"/>
        </w:rPr>
      </w:pPr>
      <w:r w:rsidRPr="00B73031">
        <w:rPr>
          <w:rFonts w:ascii="Garamond" w:hAnsi="Garamond"/>
          <w:b/>
          <w:bCs/>
          <w:sz w:val="22"/>
          <w:szCs w:val="22"/>
        </w:rPr>
        <w:t>Expected answer:</w:t>
      </w:r>
      <w:r>
        <w:rPr>
          <w:rFonts w:ascii="Garamond" w:hAnsi="Garamond"/>
          <w:sz w:val="22"/>
          <w:szCs w:val="22"/>
        </w:rPr>
        <w:t xml:space="preserve"> It p</w:t>
      </w:r>
      <w:r w:rsidR="00B8229F" w:rsidRPr="00331AA9">
        <w:rPr>
          <w:rFonts w:ascii="Garamond" w:hAnsi="Garamond"/>
          <w:sz w:val="22"/>
          <w:szCs w:val="22"/>
        </w:rPr>
        <w:t>rovides the nurse with filtered clinical knowledge appropriate for the patient and provided at an appropriate time to influence patient care.</w:t>
      </w:r>
    </w:p>
    <w:p w14:paraId="510D766C" w14:textId="200B41C5" w:rsidR="005A4141" w:rsidRPr="00331AA9" w:rsidRDefault="005A4141" w:rsidP="00452B06">
      <w:pPr>
        <w:pStyle w:val="ONCList-beginning"/>
        <w:numPr>
          <w:ilvl w:val="0"/>
          <w:numId w:val="18"/>
        </w:numPr>
        <w:spacing w:line="300" w:lineRule="exact"/>
        <w:ind w:left="360"/>
        <w:rPr>
          <w:rFonts w:ascii="Garamond" w:hAnsi="Garamond"/>
          <w:b/>
          <w:bCs/>
          <w:sz w:val="22"/>
          <w:szCs w:val="22"/>
        </w:rPr>
      </w:pPr>
      <w:r w:rsidRPr="00331AA9">
        <w:rPr>
          <w:rFonts w:ascii="Garamond" w:hAnsi="Garamond"/>
          <w:b/>
          <w:bCs/>
          <w:sz w:val="22"/>
          <w:szCs w:val="22"/>
        </w:rPr>
        <w:t>What would be a benefit of the clinical decision support?</w:t>
      </w:r>
    </w:p>
    <w:p w14:paraId="650024EC" w14:textId="0DCCDFF4" w:rsidR="00225C26" w:rsidRPr="00331AA9" w:rsidRDefault="00377659" w:rsidP="00452B06">
      <w:pPr>
        <w:pStyle w:val="ONCNormal"/>
        <w:spacing w:after="120" w:line="300" w:lineRule="exact"/>
        <w:ind w:left="360"/>
        <w:rPr>
          <w:rFonts w:ascii="Garamond" w:hAnsi="Garamond"/>
          <w:sz w:val="22"/>
          <w:szCs w:val="22"/>
        </w:rPr>
      </w:pPr>
      <w:r w:rsidRPr="00B73031">
        <w:rPr>
          <w:rFonts w:ascii="Garamond" w:hAnsi="Garamond"/>
          <w:b/>
          <w:bCs/>
          <w:sz w:val="22"/>
          <w:szCs w:val="22"/>
        </w:rPr>
        <w:t>Expected answer:</w:t>
      </w:r>
      <w:r>
        <w:rPr>
          <w:rFonts w:ascii="Garamond" w:hAnsi="Garamond"/>
          <w:sz w:val="22"/>
          <w:szCs w:val="22"/>
        </w:rPr>
        <w:t xml:space="preserve"> </w:t>
      </w:r>
      <w:r w:rsidR="00FA237C">
        <w:rPr>
          <w:rFonts w:ascii="Garamond" w:hAnsi="Garamond"/>
          <w:sz w:val="22"/>
          <w:szCs w:val="22"/>
        </w:rPr>
        <w:t>Benefits</w:t>
      </w:r>
      <w:r w:rsidR="00F27241">
        <w:rPr>
          <w:rFonts w:ascii="Garamond" w:hAnsi="Garamond"/>
          <w:sz w:val="22"/>
          <w:szCs w:val="22"/>
        </w:rPr>
        <w:t xml:space="preserve"> would </w:t>
      </w:r>
      <w:r w:rsidR="008A12AF">
        <w:rPr>
          <w:rFonts w:ascii="Garamond" w:hAnsi="Garamond"/>
          <w:sz w:val="22"/>
          <w:szCs w:val="22"/>
        </w:rPr>
        <w:t>include the following</w:t>
      </w:r>
      <w:r w:rsidR="00FA237C">
        <w:rPr>
          <w:rFonts w:ascii="Garamond" w:hAnsi="Garamond"/>
          <w:sz w:val="22"/>
          <w:szCs w:val="22"/>
        </w:rPr>
        <w:t>:</w:t>
      </w:r>
      <w:r w:rsidR="00F27241">
        <w:rPr>
          <w:rFonts w:ascii="Garamond" w:hAnsi="Garamond"/>
          <w:sz w:val="22"/>
          <w:szCs w:val="22"/>
        </w:rPr>
        <w:t xml:space="preserve"> reducing</w:t>
      </w:r>
      <w:r w:rsidR="00F27241" w:rsidRPr="00331AA9">
        <w:rPr>
          <w:rFonts w:ascii="Garamond" w:hAnsi="Garamond"/>
          <w:sz w:val="22"/>
          <w:szCs w:val="22"/>
        </w:rPr>
        <w:t xml:space="preserve"> </w:t>
      </w:r>
      <w:r w:rsidR="00225C26" w:rsidRPr="00331AA9">
        <w:rPr>
          <w:rFonts w:ascii="Garamond" w:hAnsi="Garamond"/>
          <w:sz w:val="22"/>
          <w:szCs w:val="22"/>
        </w:rPr>
        <w:t>adverse events, errors, and costs</w:t>
      </w:r>
      <w:r w:rsidR="00F27241">
        <w:rPr>
          <w:rFonts w:ascii="Garamond" w:hAnsi="Garamond"/>
          <w:sz w:val="22"/>
          <w:szCs w:val="22"/>
        </w:rPr>
        <w:t>; fostering</w:t>
      </w:r>
      <w:r w:rsidR="00F27241" w:rsidRPr="00331AA9">
        <w:rPr>
          <w:rFonts w:ascii="Garamond" w:hAnsi="Garamond"/>
          <w:sz w:val="22"/>
          <w:szCs w:val="22"/>
        </w:rPr>
        <w:t xml:space="preserve"> </w:t>
      </w:r>
      <w:r w:rsidR="00225C26" w:rsidRPr="00331AA9">
        <w:rPr>
          <w:rFonts w:ascii="Garamond" w:hAnsi="Garamond"/>
          <w:sz w:val="22"/>
          <w:szCs w:val="22"/>
        </w:rPr>
        <w:t>adherence to quality guidelines</w:t>
      </w:r>
      <w:r w:rsidR="00FA237C">
        <w:rPr>
          <w:rFonts w:ascii="Garamond" w:hAnsi="Garamond"/>
          <w:sz w:val="22"/>
          <w:szCs w:val="22"/>
        </w:rPr>
        <w:t xml:space="preserve"> and</w:t>
      </w:r>
      <w:r w:rsidR="00225C26" w:rsidRPr="00331AA9">
        <w:rPr>
          <w:rFonts w:ascii="Garamond" w:hAnsi="Garamond"/>
          <w:sz w:val="22"/>
          <w:szCs w:val="22"/>
        </w:rPr>
        <w:t xml:space="preserve"> proper means of care.</w:t>
      </w:r>
    </w:p>
    <w:p w14:paraId="0C84F5C3" w14:textId="5C4871C0" w:rsidR="005A4141" w:rsidRPr="00331AA9" w:rsidRDefault="005A4141" w:rsidP="00452B06">
      <w:pPr>
        <w:pStyle w:val="ONCList-beginning"/>
        <w:numPr>
          <w:ilvl w:val="0"/>
          <w:numId w:val="18"/>
        </w:numPr>
        <w:spacing w:line="300" w:lineRule="exact"/>
        <w:ind w:left="360"/>
        <w:rPr>
          <w:rFonts w:ascii="Garamond" w:hAnsi="Garamond"/>
          <w:b/>
          <w:bCs/>
          <w:sz w:val="22"/>
          <w:szCs w:val="22"/>
        </w:rPr>
      </w:pPr>
      <w:r w:rsidRPr="00331AA9">
        <w:rPr>
          <w:rFonts w:ascii="Garamond" w:hAnsi="Garamond"/>
          <w:b/>
          <w:bCs/>
          <w:sz w:val="22"/>
          <w:szCs w:val="22"/>
        </w:rPr>
        <w:t>What is the role of clinical decision support in this situation?</w:t>
      </w:r>
    </w:p>
    <w:p w14:paraId="2C7C1B72" w14:textId="07B85D13" w:rsidR="008B5FAF" w:rsidRPr="00331AA9" w:rsidRDefault="0081122D" w:rsidP="00452B06">
      <w:pPr>
        <w:pStyle w:val="ONCList-beginning"/>
        <w:spacing w:line="300" w:lineRule="exact"/>
        <w:rPr>
          <w:rFonts w:ascii="Garamond" w:hAnsi="Garamond"/>
          <w:sz w:val="22"/>
          <w:szCs w:val="22"/>
        </w:rPr>
      </w:pPr>
      <w:r w:rsidRPr="00B73031">
        <w:rPr>
          <w:rFonts w:ascii="Garamond" w:hAnsi="Garamond"/>
          <w:b/>
          <w:bCs/>
          <w:sz w:val="22"/>
          <w:szCs w:val="22"/>
        </w:rPr>
        <w:t>Expected answer:</w:t>
      </w:r>
      <w:r>
        <w:rPr>
          <w:rFonts w:ascii="Garamond" w:hAnsi="Garamond"/>
          <w:sz w:val="22"/>
          <w:szCs w:val="22"/>
        </w:rPr>
        <w:t xml:space="preserve"> It alerts</w:t>
      </w:r>
      <w:r w:rsidRPr="00331AA9">
        <w:rPr>
          <w:rFonts w:ascii="Garamond" w:hAnsi="Garamond"/>
          <w:sz w:val="22"/>
          <w:szCs w:val="22"/>
        </w:rPr>
        <w:t xml:space="preserve"> </w:t>
      </w:r>
      <w:r w:rsidR="000779F3" w:rsidRPr="00331AA9">
        <w:rPr>
          <w:rFonts w:ascii="Garamond" w:hAnsi="Garamond"/>
          <w:sz w:val="22"/>
          <w:szCs w:val="22"/>
        </w:rPr>
        <w:t xml:space="preserve">the clinician </w:t>
      </w:r>
      <w:r w:rsidR="008B5FAF" w:rsidRPr="00331AA9">
        <w:rPr>
          <w:rFonts w:ascii="Garamond" w:hAnsi="Garamond"/>
          <w:sz w:val="22"/>
          <w:szCs w:val="22"/>
        </w:rPr>
        <w:t>to a possible contraindication.</w:t>
      </w:r>
    </w:p>
    <w:p w14:paraId="63D4FC39" w14:textId="313F6D85" w:rsidR="005A4141" w:rsidRPr="00331AA9" w:rsidRDefault="005A4141" w:rsidP="00452B06">
      <w:pPr>
        <w:pStyle w:val="ONCList-beginning"/>
        <w:numPr>
          <w:ilvl w:val="0"/>
          <w:numId w:val="18"/>
        </w:numPr>
        <w:spacing w:line="300" w:lineRule="exact"/>
        <w:ind w:left="360"/>
        <w:rPr>
          <w:rFonts w:ascii="Garamond" w:hAnsi="Garamond"/>
          <w:b/>
          <w:bCs/>
          <w:sz w:val="22"/>
          <w:szCs w:val="22"/>
        </w:rPr>
      </w:pPr>
      <w:r w:rsidRPr="00331AA9">
        <w:rPr>
          <w:rFonts w:ascii="Garamond" w:hAnsi="Garamond"/>
          <w:b/>
          <w:bCs/>
          <w:sz w:val="22"/>
          <w:szCs w:val="22"/>
        </w:rPr>
        <w:t xml:space="preserve">Why is clinical decision support important at the point of care? </w:t>
      </w:r>
    </w:p>
    <w:p w14:paraId="0361B28A" w14:textId="3EA9EE16" w:rsidR="005A4141" w:rsidRPr="00331AA9" w:rsidRDefault="0081122D" w:rsidP="00452B06">
      <w:pPr>
        <w:pStyle w:val="NormalWeb"/>
        <w:shd w:val="clear" w:color="auto" w:fill="FFFFFF"/>
        <w:spacing w:before="0" w:beforeAutospacing="0" w:after="120" w:afterAutospacing="0" w:line="300" w:lineRule="exact"/>
        <w:ind w:left="360"/>
        <w:rPr>
          <w:rFonts w:ascii="Garamond" w:hAnsi="Garamond" w:cs="Segoe UI"/>
          <w:color w:val="3A3A3A"/>
          <w:sz w:val="22"/>
          <w:szCs w:val="22"/>
        </w:rPr>
      </w:pPr>
      <w:r w:rsidRPr="00B73031">
        <w:rPr>
          <w:rFonts w:ascii="Garamond" w:hAnsi="Garamond"/>
          <w:b/>
          <w:bCs/>
          <w:sz w:val="22"/>
          <w:szCs w:val="22"/>
        </w:rPr>
        <w:t>Expected answer:</w:t>
      </w:r>
      <w:r>
        <w:rPr>
          <w:rFonts w:ascii="Garamond" w:hAnsi="Garamond"/>
          <w:sz w:val="22"/>
          <w:szCs w:val="22"/>
        </w:rPr>
        <w:t xml:space="preserve"> </w:t>
      </w:r>
      <w:r w:rsidR="004A78AC" w:rsidRPr="00331AA9">
        <w:rPr>
          <w:rFonts w:ascii="Garamond" w:hAnsi="Garamond"/>
          <w:sz w:val="22"/>
          <w:szCs w:val="22"/>
        </w:rPr>
        <w:t>Clinical decision support is the tool that helps deliver the right information to the right person, at the right place and time for the right situation.</w:t>
      </w:r>
    </w:p>
    <w:p w14:paraId="16453DF3" w14:textId="77777777" w:rsidR="00603C08" w:rsidRPr="00603C08" w:rsidRDefault="00603C08" w:rsidP="00FB2E33">
      <w:pPr>
        <w:pStyle w:val="ONCHeading1"/>
        <w:spacing w:before="240" w:after="240"/>
        <w:jc w:val="left"/>
        <w:rPr>
          <w:rFonts w:ascii="Century Gothic" w:hAnsi="Century Gothic"/>
          <w:b w:val="0"/>
          <w:bCs w:val="0"/>
          <w:sz w:val="22"/>
          <w:szCs w:val="22"/>
        </w:rPr>
      </w:pPr>
    </w:p>
    <w:bookmarkEnd w:id="0"/>
    <w:bookmarkEnd w:id="1"/>
    <w:bookmarkEnd w:id="2"/>
    <w:bookmarkEnd w:id="3"/>
    <w:p w14:paraId="66331BFA" w14:textId="3B8F9048" w:rsidR="00FB2E33" w:rsidRDefault="00FB2E33" w:rsidP="00FB2E33">
      <w:pPr>
        <w:pStyle w:val="ONCNormal"/>
      </w:pPr>
    </w:p>
    <w:p w14:paraId="0D9F0049" w14:textId="27DABA1A" w:rsidR="00452B06" w:rsidRDefault="00452B06" w:rsidP="00FB2E33">
      <w:pPr>
        <w:pStyle w:val="ONCNormal"/>
      </w:pPr>
    </w:p>
    <w:p w14:paraId="0D223929" w14:textId="74F798D5" w:rsidR="00452B06" w:rsidRDefault="00452B06" w:rsidP="00FB2E33">
      <w:pPr>
        <w:pStyle w:val="ONCNormal"/>
      </w:pPr>
    </w:p>
    <w:p w14:paraId="59AF1365" w14:textId="2C87F8D0" w:rsidR="00452B06" w:rsidRDefault="00452B06" w:rsidP="00FB2E33">
      <w:pPr>
        <w:pStyle w:val="ONCNormal"/>
      </w:pPr>
    </w:p>
    <w:p w14:paraId="7057E6EA" w14:textId="77777777" w:rsidR="00452B06" w:rsidRDefault="00452B06" w:rsidP="00FB2E33">
      <w:pPr>
        <w:pStyle w:val="ONCNormal"/>
      </w:pPr>
    </w:p>
    <w:p w14:paraId="4D234452" w14:textId="798C0FA4" w:rsidR="00FB2E33" w:rsidRPr="00636FC3" w:rsidRDefault="00FB2E33" w:rsidP="00636FC3">
      <w:pPr>
        <w:pStyle w:val="ONCAttributionCoverPage"/>
        <w:spacing w:line="259" w:lineRule="auto"/>
        <w:jc w:val="left"/>
        <w:rPr>
          <w:rFonts w:ascii="Century Gothic" w:hAnsi="Century Gothic"/>
          <w:i w:val="0"/>
          <w:iCs/>
          <w:sz w:val="16"/>
          <w:szCs w:val="16"/>
        </w:rPr>
      </w:pPr>
      <w:r w:rsidRPr="00636FC3">
        <w:rPr>
          <w:rFonts w:ascii="Century Gothic" w:hAnsi="Century Gothic"/>
          <w:i w:val="0"/>
          <w:iCs/>
          <w:sz w:val="16"/>
          <w:szCs w:val="16"/>
        </w:rPr>
        <w:t>This material was developed by Duke University, funded by the Department of Health and Human Services, Office of the National Coordinator for Health Information Technology under Award Number IU24OC000024. This material was updated by Normandale Community College, funded under Award Number 90WT0003.</w:t>
      </w:r>
    </w:p>
    <w:p w14:paraId="09360C8A" w14:textId="77777777" w:rsidR="00636FC3" w:rsidRDefault="00636FC3" w:rsidP="00636FC3">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presentation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6BDE605A" w14:textId="52640728" w:rsidR="00FB2E33" w:rsidRPr="00636FC3" w:rsidRDefault="00636FC3" w:rsidP="00636FC3">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sectPr w:rsidR="00FB2E33" w:rsidRPr="00636FC3" w:rsidSect="006C4186">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EBBD4" w14:textId="77777777" w:rsidR="00D00D0F" w:rsidRDefault="00D00D0F" w:rsidP="00E7584A">
      <w:pPr>
        <w:spacing w:after="0" w:line="240" w:lineRule="auto"/>
      </w:pPr>
      <w:r>
        <w:separator/>
      </w:r>
    </w:p>
  </w:endnote>
  <w:endnote w:type="continuationSeparator" w:id="0">
    <w:p w14:paraId="27B40CEA" w14:textId="77777777" w:rsidR="00D00D0F" w:rsidRDefault="00D00D0F"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8B58E" w14:textId="75F9F168" w:rsidR="009674DF" w:rsidRDefault="009674DF">
    <w:pPr>
      <w:pStyle w:val="Footer"/>
    </w:pPr>
    <w:r w:rsidRPr="00AE09E0">
      <w:rPr>
        <w:noProof/>
      </w:rPr>
      <mc:AlternateContent>
        <mc:Choice Requires="wpg">
          <w:drawing>
            <wp:anchor distT="0" distB="0" distL="114300" distR="114300" simplePos="0" relativeHeight="251659264" behindDoc="0" locked="0" layoutInCell="1" allowOverlap="1" wp14:anchorId="10AF2768" wp14:editId="24F6244D">
              <wp:simplePos x="0" y="0"/>
              <wp:positionH relativeFrom="margin">
                <wp:align>right</wp:align>
              </wp:positionH>
              <wp:positionV relativeFrom="paragraph">
                <wp:posOffset>-243068</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8114D03" id="Group 10" o:spid="_x0000_s1026" style="position:absolute;margin-left:155.1pt;margin-top:-19.1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79050" w14:textId="77777777" w:rsidR="00D00D0F" w:rsidRDefault="00D00D0F" w:rsidP="00E7584A">
      <w:pPr>
        <w:spacing w:after="0" w:line="240" w:lineRule="auto"/>
      </w:pPr>
      <w:r>
        <w:separator/>
      </w:r>
    </w:p>
  </w:footnote>
  <w:footnote w:type="continuationSeparator" w:id="0">
    <w:p w14:paraId="70338E66" w14:textId="77777777" w:rsidR="00D00D0F" w:rsidRDefault="00D00D0F"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9E31E" w14:textId="77777777" w:rsidR="00E17B99" w:rsidRPr="00AE09E0" w:rsidRDefault="00E17B99" w:rsidP="00E17B99">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DA90975" w14:textId="69F1EDC1" w:rsidR="00E17B99" w:rsidRPr="009674DF" w:rsidRDefault="00E17B99" w:rsidP="009674DF">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7EC5EA4"/>
    <w:multiLevelType w:val="hybridMultilevel"/>
    <w:tmpl w:val="13644D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27AD7"/>
    <w:multiLevelType w:val="hybridMultilevel"/>
    <w:tmpl w:val="BF6E5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82F88"/>
    <w:multiLevelType w:val="hybridMultilevel"/>
    <w:tmpl w:val="427AA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EF5AE2"/>
    <w:multiLevelType w:val="hybridMultilevel"/>
    <w:tmpl w:val="9176E7B8"/>
    <w:lvl w:ilvl="0" w:tplc="C1EC053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2"/>
  </w:num>
  <w:num w:numId="5">
    <w:abstractNumId w:val="6"/>
  </w:num>
  <w:num w:numId="6">
    <w:abstractNumId w:val="13"/>
  </w:num>
  <w:num w:numId="7">
    <w:abstractNumId w:val="7"/>
  </w:num>
  <w:num w:numId="8">
    <w:abstractNumId w:val="3"/>
  </w:num>
  <w:num w:numId="9">
    <w:abstractNumId w:val="2"/>
  </w:num>
  <w:num w:numId="10">
    <w:abstractNumId w:val="5"/>
  </w:num>
  <w:num w:numId="11">
    <w:abstractNumId w:val="15"/>
  </w:num>
  <w:num w:numId="12">
    <w:abstractNumId w:val="6"/>
    <w:lvlOverride w:ilvl="0">
      <w:startOverride w:val="1"/>
    </w:lvlOverride>
  </w:num>
  <w:num w:numId="13">
    <w:abstractNumId w:val="14"/>
  </w:num>
  <w:num w:numId="14">
    <w:abstractNumId w:val="9"/>
  </w:num>
  <w:num w:numId="15">
    <w:abstractNumId w:val="8"/>
  </w:num>
  <w:num w:numId="16">
    <w:abstractNumId w:val="11"/>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3B4"/>
    <w:rsid w:val="00046A03"/>
    <w:rsid w:val="00065508"/>
    <w:rsid w:val="000779F3"/>
    <w:rsid w:val="000937EB"/>
    <w:rsid w:val="00115C89"/>
    <w:rsid w:val="00116209"/>
    <w:rsid w:val="0016482C"/>
    <w:rsid w:val="001F1E7D"/>
    <w:rsid w:val="00225C26"/>
    <w:rsid w:val="002F76CC"/>
    <w:rsid w:val="002F7EF1"/>
    <w:rsid w:val="00301C0A"/>
    <w:rsid w:val="00331AA9"/>
    <w:rsid w:val="00332E32"/>
    <w:rsid w:val="00377659"/>
    <w:rsid w:val="003B2F1F"/>
    <w:rsid w:val="003D3818"/>
    <w:rsid w:val="00416136"/>
    <w:rsid w:val="0042759C"/>
    <w:rsid w:val="004312A7"/>
    <w:rsid w:val="00452B06"/>
    <w:rsid w:val="0045729D"/>
    <w:rsid w:val="004845FC"/>
    <w:rsid w:val="00496E44"/>
    <w:rsid w:val="004A6E07"/>
    <w:rsid w:val="004A78AC"/>
    <w:rsid w:val="004B4BCF"/>
    <w:rsid w:val="004C359D"/>
    <w:rsid w:val="004F5D65"/>
    <w:rsid w:val="005323E5"/>
    <w:rsid w:val="00572A37"/>
    <w:rsid w:val="00577CC1"/>
    <w:rsid w:val="005824DF"/>
    <w:rsid w:val="005A4141"/>
    <w:rsid w:val="005E2381"/>
    <w:rsid w:val="00603C08"/>
    <w:rsid w:val="00624BC5"/>
    <w:rsid w:val="00636FC3"/>
    <w:rsid w:val="00641A59"/>
    <w:rsid w:val="00696046"/>
    <w:rsid w:val="006C4186"/>
    <w:rsid w:val="007148B1"/>
    <w:rsid w:val="007233E9"/>
    <w:rsid w:val="00794D21"/>
    <w:rsid w:val="0081122D"/>
    <w:rsid w:val="0083777C"/>
    <w:rsid w:val="00846E82"/>
    <w:rsid w:val="00856AD3"/>
    <w:rsid w:val="0085790C"/>
    <w:rsid w:val="008A12AF"/>
    <w:rsid w:val="008B5FAF"/>
    <w:rsid w:val="008B7A97"/>
    <w:rsid w:val="008C35A3"/>
    <w:rsid w:val="008E7B8D"/>
    <w:rsid w:val="00901763"/>
    <w:rsid w:val="009674DF"/>
    <w:rsid w:val="00976FC0"/>
    <w:rsid w:val="009B6E19"/>
    <w:rsid w:val="009F57F9"/>
    <w:rsid w:val="00A873B4"/>
    <w:rsid w:val="00AC2FB6"/>
    <w:rsid w:val="00AD4596"/>
    <w:rsid w:val="00AF2595"/>
    <w:rsid w:val="00B73031"/>
    <w:rsid w:val="00B8229F"/>
    <w:rsid w:val="00B8617C"/>
    <w:rsid w:val="00BC491D"/>
    <w:rsid w:val="00BD695C"/>
    <w:rsid w:val="00BF1CF3"/>
    <w:rsid w:val="00C2463A"/>
    <w:rsid w:val="00C37BDC"/>
    <w:rsid w:val="00C5658A"/>
    <w:rsid w:val="00C9643E"/>
    <w:rsid w:val="00D00D0F"/>
    <w:rsid w:val="00D02CD7"/>
    <w:rsid w:val="00D53551"/>
    <w:rsid w:val="00D70801"/>
    <w:rsid w:val="00D946BF"/>
    <w:rsid w:val="00DE0D51"/>
    <w:rsid w:val="00DF5C96"/>
    <w:rsid w:val="00E00B90"/>
    <w:rsid w:val="00E16441"/>
    <w:rsid w:val="00E165A0"/>
    <w:rsid w:val="00E17B99"/>
    <w:rsid w:val="00E7584A"/>
    <w:rsid w:val="00E77D7A"/>
    <w:rsid w:val="00F27241"/>
    <w:rsid w:val="00F66415"/>
    <w:rsid w:val="00F735B4"/>
    <w:rsid w:val="00F93103"/>
    <w:rsid w:val="00FA237C"/>
    <w:rsid w:val="00FB2E33"/>
    <w:rsid w:val="00FC492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48F53"/>
  <w15:docId w15:val="{1E79C40E-0CF3-4231-9643-04F32D8FA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381"/>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semiHidden/>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customStyle="1" w:styleId="Arial12">
    <w:name w:val="Arial_12"/>
    <w:basedOn w:val="Normal"/>
    <w:autoRedefine/>
    <w:qFormat/>
    <w:rsid w:val="009F57F9"/>
    <w:pPr>
      <w:spacing w:after="0" w:line="240" w:lineRule="auto"/>
    </w:pPr>
    <w:rPr>
      <w:rFonts w:eastAsia="Times New Roman" w:cs="Arial"/>
      <w:szCs w:val="24"/>
    </w:rPr>
  </w:style>
  <w:style w:type="paragraph" w:customStyle="1" w:styleId="BoldArial12">
    <w:name w:val="Bold_Arial12"/>
    <w:basedOn w:val="Heading2"/>
    <w:autoRedefine/>
    <w:qFormat/>
    <w:rsid w:val="00332E32"/>
    <w:pPr>
      <w:keepLines w:val="0"/>
      <w:spacing w:before="240" w:after="60" w:line="240" w:lineRule="auto"/>
    </w:pPr>
    <w:rPr>
      <w:rFonts w:ascii="Arial" w:eastAsia="Times New Roman" w:hAnsi="Arial" w:cs="Times New Roman"/>
      <w:color w:val="auto"/>
      <w:sz w:val="24"/>
      <w:szCs w:val="28"/>
      <w:lang w:val="x-none" w:eastAsia="x-none"/>
    </w:rPr>
  </w:style>
  <w:style w:type="paragraph" w:customStyle="1" w:styleId="ArialBold12">
    <w:name w:val="Arial_Bold12"/>
    <w:basedOn w:val="Normal"/>
    <w:autoRedefine/>
    <w:qFormat/>
    <w:rsid w:val="004C359D"/>
    <w:pPr>
      <w:spacing w:after="0" w:line="240" w:lineRule="auto"/>
    </w:pPr>
    <w:rPr>
      <w:rFonts w:eastAsia="Times New Roman" w:cs="Arial"/>
      <w:b/>
      <w:szCs w:val="24"/>
    </w:rPr>
  </w:style>
  <w:style w:type="paragraph" w:styleId="NormalWeb">
    <w:name w:val="Normal (Web)"/>
    <w:basedOn w:val="Normal"/>
    <w:uiPriority w:val="99"/>
    <w:semiHidden/>
    <w:unhideWhenUsed/>
    <w:rsid w:val="005A4141"/>
    <w:pPr>
      <w:spacing w:before="100" w:beforeAutospacing="1" w:after="100" w:afterAutospacing="1" w:line="240" w:lineRule="auto"/>
    </w:pPr>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4A78AC"/>
    <w:rPr>
      <w:sz w:val="16"/>
      <w:szCs w:val="16"/>
    </w:rPr>
  </w:style>
  <w:style w:type="paragraph" w:styleId="CommentText">
    <w:name w:val="annotation text"/>
    <w:basedOn w:val="Normal"/>
    <w:link w:val="CommentTextChar"/>
    <w:uiPriority w:val="99"/>
    <w:semiHidden/>
    <w:unhideWhenUsed/>
    <w:rsid w:val="004A78AC"/>
    <w:pPr>
      <w:spacing w:line="240" w:lineRule="auto"/>
    </w:pPr>
    <w:rPr>
      <w:sz w:val="20"/>
      <w:szCs w:val="20"/>
    </w:rPr>
  </w:style>
  <w:style w:type="character" w:customStyle="1" w:styleId="CommentTextChar">
    <w:name w:val="Comment Text Char"/>
    <w:basedOn w:val="DefaultParagraphFont"/>
    <w:link w:val="CommentText"/>
    <w:uiPriority w:val="99"/>
    <w:semiHidden/>
    <w:rsid w:val="004A78A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A78AC"/>
    <w:rPr>
      <w:b/>
      <w:bCs/>
    </w:rPr>
  </w:style>
  <w:style w:type="character" w:customStyle="1" w:styleId="CommentSubjectChar">
    <w:name w:val="Comment Subject Char"/>
    <w:basedOn w:val="CommentTextChar"/>
    <w:link w:val="CommentSubject"/>
    <w:uiPriority w:val="99"/>
    <w:semiHidden/>
    <w:rsid w:val="004A78AC"/>
    <w:rPr>
      <w:rFonts w:ascii="Arial" w:hAnsi="Arial"/>
      <w:b/>
      <w:bCs/>
      <w:sz w:val="20"/>
      <w:szCs w:val="20"/>
    </w:rPr>
  </w:style>
  <w:style w:type="paragraph" w:customStyle="1" w:styleId="Bodytext">
    <w:name w:val="Body text'"/>
    <w:basedOn w:val="NormalWeb"/>
    <w:qFormat/>
    <w:rsid w:val="005E2381"/>
    <w:pPr>
      <w:shd w:val="clear" w:color="auto" w:fill="FFFFFF"/>
      <w:spacing w:before="0" w:beforeAutospacing="0" w:after="120" w:afterAutospacing="0" w:line="300" w:lineRule="exact"/>
    </w:pPr>
    <w:rPr>
      <w:rFonts w:ascii="Garamond" w:hAnsi="Garamond" w:cs="Segoe UI"/>
      <w:color w:val="3A3A3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82747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FBC1E-5A0C-4EC3-A752-7BCD1894501A}"/>
</file>

<file path=customXml/itemProps2.xml><?xml version="1.0" encoding="utf-8"?>
<ds:datastoreItem xmlns:ds="http://schemas.openxmlformats.org/officeDocument/2006/customXml" ds:itemID="{F28F290F-8758-402C-992C-6423E85154E5}">
  <ds:schemaRefs>
    <ds:schemaRef ds:uri="http://schemas.microsoft.com/sharepoint/v3/contenttype/forms"/>
  </ds:schemaRefs>
</ds:datastoreItem>
</file>

<file path=customXml/itemProps3.xml><?xml version="1.0" encoding="utf-8"?>
<ds:datastoreItem xmlns:ds="http://schemas.openxmlformats.org/officeDocument/2006/customXml" ds:itemID="{0D46C234-AA30-4CDF-B653-8D8A93A92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65110F-3110-49A4-A1F3-679EDFFE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Component 6, Unit 5</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6, Unit 5</dc:title>
  <dc:subject>Health Management Information Systems</dc:subject>
  <dc:creator>Department of Health and Human Services Health IT Department Office of the National Coordinator</dc:creator>
  <cp:keywords>Health IT, Health IT Curriculum, Computer Science</cp:keywords>
  <cp:lastModifiedBy>Villella, Christina</cp:lastModifiedBy>
  <cp:revision>3</cp:revision>
  <dcterms:created xsi:type="dcterms:W3CDTF">2020-03-20T20:13:00Z</dcterms:created>
  <dcterms:modified xsi:type="dcterms:W3CDTF">2020-03-20T21:02:00Z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